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компания обратилась в суд с заявлением о включении в реестр требований кредиторов должника задолженности в размере 343 018 887 рублей 74 копеек (5 903 254,66 долларов США, 81 422,66 евро). Определением Арбитражного суда города Москвы от 14.05.2019, оставленным без изменения постановлениями Девятого арбитражного апелляционного суда от 29.07.2019 и Арбитражного суда Московского округа от 14.10.2019,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196 Гражданского кодекса Российской Федерации, статей 71 и 100 Федерального закона от 26.10.2002 № 127-ФЗ «О несостоятельности (банкротстве)», позицией, изложенной в пункте 14 постановления Пленума Высшего Арбитражного Суда Российской Федерации от 15.12.2004 № 29 «О некоторых вопросах практики применения Федерального закона "О несостоятельности (банкротстве)"»,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необоснованности требований ввиду отсутствия в материалах дела надлежащих доказательств неосновательного обогащения, а также пропуска срока исковой давности для предъявления требований. Выводы судов соответствуют нормам права, оснований для переоценки этих выводов не имеется. Нарушений норм процессуального права, влекущих за собой отмену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«Юсиэс Интернешнл Логистикс (Пекин) Ко., Лтд»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