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1 642 499,77 долларов США. Определением Арбитражного суда города Москвы от 14.05.2019, оставленным без изменения постановлениями Девятого арбитражного апелляционного суда от 29.07.2019 и Арбитражного суда Московского округа от 16.10.2019,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196 Гражданского кодекса Российской Федерации, статей 71 и 100 Федерального закона от 26.10.2002 № 127-ФЗ «О несостоятельности (банкротстве)», позицией, изложенной в пункте 14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необоснованности требований ввиду отсутствия в материалах дела надлежащих доказательства неосновательного обогащения, а также пропуска срока исковой давности для предъявления требований.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«Достром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