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27.12.2018, оставленным без изменения постановлением Третьего арбитражного апелляционного суда от 17.04.2019, в удовлетворении иска отказано. Арбитражный суд Восточно-Сибирского округа постановлением от 10.10.2019 решение от 27.12.2018 и постановление Третьего арбитражного апелляционного суда от 17.04.2019 оставил без изменения. В кассационной жалобе страховая компания просит об отмене указанных судебных актов вследствие неосновательного распространения на ответчика условий договора страхования.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соответствии с пунктом 1 статьи 942 Гражданского кодекса Российской Федерации Российской Федерации условия договора добровольного имущественного страхования определяются по соглашению сторон. Суды установили, что в соответствии с пунктом 7.5 Правил страхования воздушных судов, действующих в страховой компании и являющихся неотъемлемой частью договора страхования, при переходе прав на застрахованное воздушное судно от лица, в интересах которого был заключен договор страхования, к другому лицу, права и обязанности по договору страхования переходят к лицу, к которому перешли права на воздушное судно, за исключением случаев принудительного изъятия воздушного судна по основаниям, предусмотренным действующим законодательством. При этом названный пункт Правил страхования не связывает переход прав со сменой титульного владельца застрахованного имущества. Признание судом распространения на общество «КрасАвиа», допущенного к управлению воздушным судном на основании договора аренды от 24.02.2015 № 122, прав страхователя в договоре страхования воздушных судов основано на указанных нормах закона и договора. Факт указания общества «КрасАвиа» в договоре страхования в качестве эксплуатанта также свидетельствует о страховании рисков несения убытков в застрахованном имуществе как страхователем-арендодателем, так как и арендатором. Таким образом, общество «КрасАвиа» фактически заняло место страхователя, вследствие чего страховая компания не вправе требовать с него взыскания выплаченной суммы страхового возмещения в порядке суброгации. Заложенное в доводах жалобы оспаривание выводов судов, основанных на ином толковании норм права и условий страхования,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акционерного общества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