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05.04.2019, оставленным без изменения постановлением Второго арбитражного апелляционного суда от 05.07.2019, исковые требования удовлетворены. Постановлением Арбитражного суда Волго-Вятского округа от 15.10.2019 указанные судебные акты отменены, заявленные требования удовлетворены. Общество обратилось в Верховный Суд Российской Федерации с кассационной жалобой,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Удовлетворяя требования, суды руководствовались статьями 15 , 1064 Гражданского кодекса Российской Федерации, статьями 11, 26.1, 28 Федерального закона от 01.04.1996 № 27-ФЗ «Об индивидуальном (персонифицированном) учете в системе обязательного пенсионного страхования», и исходили из доказанности причинно-следственной связи между фактом причинения убытков и действиями страхователя по непредоставлению сведений индивидуального (персонифицированного) учета по форме СЗВ-М за май, июнь, июль 2017 года. При этом суды указали, что на момент принятия решения о выплате сумм страховой пенсии и фиксированной выплаты к ней и распоряжения о перерасчете размера пенсии фонд не располагал сведениями об осуществлении пенсионером трудовой деятельности. Доводы о представлении страхователем иной отчетности, содержащей персонифицированные сведения сотрудника, выводов судов не опровергает исходя из периода возникновения убытков и срока на проведение проверки такой отчетности.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