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«Шахта им. С.Д. Тихова» обратилось в Арбитражный суд Кемеровской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«ПромТехСервис» 7 322 126 рублей 78 копеек убытков, причиненных недостоверностью заверений об обстоятельствах, имеющих значение для заключения и исполнения договора поставки от 29.07.2016 № 66/2-2016. Решением Арбитражного суда Кемеровской области от 26.03.2019 иск удовлетворен. Постановлением Седьмого арбитражного апелляционного суда от 30.08.2019 решение суда первой инстанции оставлено без изменения. Арбитражный суд Западно-Сибирского округа постановлением от 12.11.2019 указанные судебные акты оставил без изменения. Общество с ограниченной ответственностью «ПромТехСервис» обратилось в Судебную коллегию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нарушил условия договора, поставив комбайны импортного производства без прохождения таможенной процедуры, с нарушением правил оформления первичной документации, руководствуясь статьями 15 , 393 , 431.2 , 454 , 516 Гражданского кодекса Российской Федерации, статьями 169 , 171 , 172 , 176 Налогового кодекса Российской Федерации, разъяснениями, изложенными в пунктах 1, 3, 5 постановления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пунктом 1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суды пришли к выводу о наличии оснований для возложения на ответчика установленной договором ответственности в виде возмещения понесенных истцом убытков (сумм налога на добавленную стоимость, в возмещении которого отказано налоговой инспекцией, и сумм ввозных таможенных пошлин и сборов, уплаченных истцом). Доводы жалобы об отсутствии оснований для привлечения ответчика к ответственности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«ПромТехСервис»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купли продажи, договор купли продажи недвижимости Судебная практика по применению нормы ст. 454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