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10.12.2018 в удовлетворении иска отказано. Постановлением Семнадцатого арбитражного апелляционного суда от 17.06.2019 решение отменено, с завода взыскано 3 900 000 рублей неосновательного обогащения. Дополнительным постановлением Семнадцатого арбитражного апелляционного суда от 17.07.2019 с завода взыскано 505 504 рубля 11 копеек 2 процентов за пользование чужими денежными средствами с продолжением начисления процентов на сумму 3 900 000 рублей с 18.07.2019 по день фактической оплаты долга. Постановлением Арбитражного суда Уральского округа от 22.10.2019 постановление и дополнительное постановление апелляционного суда оставлены без изменения. В кассационной жалобе завод просит об отмене судебных актов апелляционного и окружного судов,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завод не доказал передачу товара истцу в лице полномочного представителя, поэтому взыскал неотоваренный аванс и проценты в соответствии со статьями 395, 487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Приведенные в кассационной жалобе доводы правильно оценены окружным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«Первоуральский завод металлических 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