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«РемСтрой» обратилось в Арбитражный суд Пермского края с иском о взыскании с общества с ограниченной ответственностью «Дорос» 5 104 865 рублей 73 копеек задолженности по договору поставки от 12.01.2015 № 02/135-0-04/15 и 1 112 116 рублей 37 копеек процентов за пользование чужими денежными средствами за период с 31.12.2015 по 09.07.2018.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«УралОпт». Решением Арбитражного суда Пермского края от 23.04.2019 иск удовлетворен. Постановлением Семнадцатого арбитражного апелляционного суда от 02.08.2019 решение суда первой инстанции отменено и в удовлетворении иска отказано. Арбитражный суд Уральского округа постановлением от 14.11.2019 постановление суда апелляционной инстанции оставил без изменения. 2 Общество с ограниченной ответственностью «РемСтрой» обратилось в Судебную коллегию Верховного Суда Российской Федерации с кассационной жалобой на постановления судов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167, 170 Гражданского кодекса Российской Федерации, суд апелляционной инстанции пришел к выводам о том, что воля сторон не была направлена на возникновение и исполнение обязательств по договору поставки, сделка является мнимой, не влекущей правовых последствий, что явилось основанием для отказа в удовлетворении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