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06.06.2019, оставленным без изменения постановлением Девятого арбитражного апелляционного суда от 07.08.2019 и постановлением Арбитражного суда Московского округа от 21.11.2019, производство по делу прекращено в связи с неподведомственностью его арбитражному суду. В кассационной жалобе организация просит о пересмотре указанных судебных актов как не соответствующих субъектному составу и актуальной практике арбитражных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 разграничением компетенции между судами судебной системы дела по искам, связанным с нарушением прав потребителей, к каковым относится рассматриваемое дело, подведомственны судам общей юрисдикции (пункт 15 постановления Пленума Верховного Суда Российской Федерации от 28.06.2012 № 17 «О рассмотрении судами гражданских дел по спорам о защите прав потребителей»). Статус истца как общественной организации также не позволяет отнести возникший из потребительских правоотношений спор к категории экономических.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общественной организации инвалидов «Отрада»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