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Иркутской области от 28.05.2019, оставленным без изменения постановлением Четвертого арбитражного апелляционного суда от 13.08.2019 и постановлением Арбитражного суда Восточно-Сибирского округа от 25.11.2019, взыскано 1 345 041 рубль 75 копеек задолженности, 793 737 рублей 90 копеек неустойки, 4 433 рубля 74 копейки судебных расходов на оплату услуг представителя. В кассационной жалобе общество «Сибна» просит об отмене судебных актов, ссылаясь на игнорирование соглашения об изменении цены на услуги, недействительность соглашения о неустойке и отсутствие основания для ее взыскания.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Исследовав обстоятельства спора по представленным доказательствам и руководствуясь статьями 330, 452, 453, 779, 781 Гражданского кодекса Российской Федерации, суды установили наличие оснований для взыскания с ответчика задолженности и неустойки в связи с неполной оплатой оказанных в рамках договора от 20.06.2014 № 67/14 охранных услуг и удовлетворили иск частично в пределах срока исковой давности. Также суды уменьшили размер неустойки, установив наличие критериев для применения статьи 333 Гражданского кодекса Российской Федерации. Приведенные в рассматриваемой жалобе доводы оценены судами и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«Сибна»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