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11.04.2019, оставленным без изменения постановлением Пятого арбитражного апелляционного суда от 03.07.2019 и постановлением Арбитражного суда Дальневосточного округа от 22.10.2019, в иске отказано. В кассационной жалобе общество «Паритет» просит об отмене указанных судебных актов, ссылаясь на неверную квалификацию недостатков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По итогу исследования и оценки доводов и возражений суды признали отсутствие условий, необходимые в силу статей 15, 393 Гражданского кодекса Российской Федерации для взыскания убытков. Требуемая в жалобе переоценка выводов судов в отношении условий применения ответственности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