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требования в размере 15 190 544 098 рублей 11 копеек, основанном на простом векселе серии № 00001. Определением Арбитражного суда Краснодарского края от 10.06.2019 заявление удовлетворено. Постановлением Пятнадцатого арбитражного апелляционного суда от 10.08.2019, оставленным без изменения постановлением Арбитражного суда Северо-Кавказского округа от 14.10.2019, отменено определение суда первой инстанции от 10.06.2019,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отказывая в удовлетворении требований,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4 и 100 Федерального закона от 26.10.2002 № 127-ФЗ «О несостоятельности (банкротстве)», позицией, изложенной в пункте 15 постановления Пленума Верховного Суда Российской Федерации и Пленума Высшего Арбитражного Суда Российской Федерации от 04.12.2000 № 33/14 «О некоторых вопросах практики рассмотрения споров, связанных с обращением векселей»,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необоснованности требований ввиду отсутствия в материалах дела оригинала векселя и надлежащих доказательств реальности отношений, связанных с его выдачей, указав на наличие признаков недобросовестности сторон спорных отношений.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«Коссия лимитед»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