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Смоленской области от 14.02.2019, оставленным без изменения постановлением Двадцатого арбитражного апелляционного суда от 10.06.2019, в удовлетворении иска отказано. Постановлением Арбитражного суда Центрального округа от 24.10.2019 решение и постановление апелляционного суда отменены, дело направлено на новое рассмотрение в суд первой инстанции. В кассационной жалобе МВД России просит отменить постановление суда кассационной инстанции, ссылаясь на отсутствие оснований для отмены решения и постановления апелляционной инстанции.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 несоответствие выводов нижестоящих судов об отсутствии у предпринимателя права на взыскание в силу статей 15, 1069 Гражданского кодекса Российской Федерации убытков вследствие неправомерных действий ответчика исследованным обстоятельствам дела и наличие, кроме требуемого размера убытков, условий для их взыскания, поэтому отменил судебные акты первой и апелляционной инстанций в пределах предусмотренных статьями 286, 287 Арбитражного процессуального кодекса Российской Федерации полномочий. На основании изложенного,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внутренних дел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