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включении в реестр требований кредиторов должника задолженности в размере 417 380,52 долларов США. Определением Арбитражного суда города Москвы от 14.05.2019, оставленным без изменения постановлениями Девятого арбитражного апелляционного суда от 29.07.2019 и Арбитражного суда Московского округа от 10.10.2019,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196 Гражданского кодекса Российской Федерации, статей 71 и 100 Федерального закона от 26.10.2002 № 127-ФЗ «О несостоятельности (банкротстве)», позицией, изложенной в пункте 14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необоснованности требований ввиду отсутствия в материалах дела надлежащих доказательства неосновательного обогащения, а также пропуска срока исковой давности для предъявления требований.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«Ист Вест Скай Гейт Лимитед»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