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20.03.2019, оставленным без изменения постановлением Девятого арбитражного апелляционного суда от 14.08.2019, иск удовлетворен. 2 Арбитражный суд Московского округа постановлением от 30.10.2019 решение от 20.03.2019 и постановление Девятого арбитражного апелляционного суда от 14.08.2019 оставил без изменения. В кассационной жалобе акционерное общество «Эйч Эл Би Внешаудит» просит об отмене судебных актов, ссылаясь на неисследование доказательств сохранения экономической эффективности выданных гарантий и несоответствие их требованиям контрактного законодательства.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 том, что отзыв у банка лицензии на осуществление банковских операций и признание банка несостоятельным (банкротом) не является основанием прекращения обязательств по банковской гарантии соответствуют статьям 368, 369, 378 Гражданского кодекса Российской Федерации, нормам Федерального закона от 26.10.2002 N 127-ФЗ «О несостоятельности (банкротстве) и Федерального закона от 02.12.1990 № 395-1 «О банках и банковской деятельности» и сложившейся судебной практике их применения. С наличием сведений о гарантиях как обеспечивающих исполнение контрактных обязательств в открытом доступе действительность обязательства по гарантии не связана, на что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«Эйч Эл Би Внешаудит»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