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104 156 891 рубля (1 822 198,94 долларов США). Определением Арбитражного суда города Москвы от 14.05.2019, оставленным без изменения постановлениями Девятого арбитражного апелляционного суда от 29.07.2019 и Арбитражного суда Московского округа от 15.10.2019,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196 Гражданского кодекса Российской Федерации, статей 71 и 100 Федерального закона от 26.10.2002 № 127-ФЗ «О несостоятельности (банкротстве)», позицией, изложенной в пункте 14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дело банкротстве», исходили из необоснованности требований ввиду отсутствия в материалах дела надлежащих доказательства неосновательного обогащения, а также пропуска срока исковой давности для предъявления требований.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«Хейлонгжианг Тиандирен Импорт Экспорт Ко., Лтд»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