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Мариничева А.В. обратилась в суд с заявлением о разрешении разногласий и об утверждении положения о порядке, условиях и сроках реализации имущества должника (далее – положение). Определением Арбитражного суда города Москвы от 05.07.2019 разрешены разногласий, утверждено положение. Постановлением Девятого арбитражного апелляционного суда от 20.09.2019, оставленным без изменения постановлением Арбитражного суда Московского округа от 26.11.2019, изменено определение суда первой инстанции от 05.07.2019, определение отменено в части утверждения пункта 17 положения в редакции конкурсного управляющего должником об определении в составе расходов на обеспечение сохранности предмета залога и его реализации на торгах налога на имущество и земельного налога, отказано в утверждении пункта 17 положения в редакции конкурсного управляющего должником, в остальной части определение суда оставлено без изменения. В кассационной жалобе, поданной в Верховный Суд Российской Федерации, заявитель просит отменить указанные постановления апелляционного суда и суда округа в части отказа в утверждении пункта 17 2 положения в редакции конкурсного управляющего должником,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в обжалуемой части,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5, 134 и 138 Федерального закона от 26.10.2002 № 127-ФЗ «О несостоятельности (банкротстве)», позицией, изложенной в пункте 15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признал несоответствие данного пункта положения закону, указав, что закон о несостоятельности не предусматривает погашение обязательных платежей в качестве расходов на обеспечение сохранности за счёт средств, вырученных от реализации предмета залога.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«Вуд Концепт» Мариничевой Анне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