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03.06.2019, оставленным без изменения постановлением Девятого арбитражного апелляционного суда от 05.09.2019, первоначальный иск удовлетворен в части взыскания 436 701 рубля 66 копеек неосновательного обогащения, встречный – 40 889 рублей 38 копеек. В результате зачета с общества «РЕСО-Лизинг» в пользу центра взыскано 405 885 рублей 28 копеек. Арбитражный суд Московского округа постановлением от 21.11.2019 решение от 03.06.2019 и постановление Девятого арбитражного апелляционного суда от 05.09.2019 оставил без изменения. В кассационной жалобе общество «РЕСО-Лизинг» просит об отмене судебных актов вследствие неверного расчета сальдо встречных обязательств. В соответствии с положениями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уплата страховой премии являлась обязанностью центра и внесения ее обществом «РЕСО-Лизинг» не попадает ни под услугу в рамках договора лизинга, ни под самостоятельную финансовую услугу, поэтому расходы на нее правомерно не учтены при определении сальдо.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«РЕСО-Лизинг»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