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29.05.2019, оставленным без изменения постановлением Десятого арбитражного апелляционного суда от 09.08.2019, оспариваемое решение признано недействительным в части штрафа, превышающего 87 750 рублей. Постановлением Арбитражного суда Московского округа от 21.10.2019 указанные судебные акты оставлены без изменения. Учреждение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вынесения оспариваемого решения послужил выявленный фондом факт несвоевременного предоставления учреждением сведений, необходимых для осуществления индивидуального (персонифицированного) учета в системе обязательного пенсионного страхования. Требование учреждения удовлетворено частично, поскольку факт просрочки представления сведений установлен судами и не оспаривается страхователем, сумма штрафа уменьшена в два раза связи с наличием обстоятельств, смягчающих ответственность за совершение правонарушения. При определении меры наказания суды учли требования справедливости, соразмерности и необходимости соблюдения баланса частных и публичных интересов, степень вины учреждения и тяжесть совершенного деяния. Доводы жалобы о необходимости дополнительного снижения штрафа направлены на переоценку доказательств и установление иных фактических обстоятельств дела, что не относиться к компетенции Верховного Суда Российской Федерации. 3 При этом в кассационной жалобе не содержится доводов заявителя о его несогласии с наличием в его деянии состава правонарушения, за которое он привлечен к ответственности. Фактов, которые не были учтены судом первой инстанции при рассмотрении дела и имели бы юридическое значение для вынесения судебного акта по существу, в кассационной жалобе не приведено.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