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февраля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Ростовской области от 07.05.2019, оставленным без изменения постановлением Пятнадцатого арбитражного апелляционного суда от 07.08.2019, иск удовлетворен. Арбитражный суд Северо-Кавказского округа постановлением от 11.10.2019 решение от 07.05.2019 и постановление Пятнадцатого арбитражного апелляционного суда от 07.08.2019 оставил без изменения. В кассационной жалобе предприниматель просит об отмене судебных актов, ссылаясь на неправомерный отказ в назначении экспертизы при отсутствии надлежащих доказательств размера убытков.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2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Судами установлено несение истцом расходов на ремонт поврежденного транспортного средства, размер которых подтвержден представленными доказательствами и частично компенсирован в рамках ОСАГО. Отказ судов в назначении экспертизы не является нарушением процессуальных норм, поскольку она не имеет приоритета над другими доказательствами, признанными достаточными и оцененными судом в соответствии с компетенцией. Вопросы доказывания и оценки доказательств не составляют оснований для кассационного пересмотра судебных актов.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индивидуальному предпринимателю Людвиницкому И.А.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