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14 февраля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определением Арбитражного суда города Москвы от 13.05.2019, оставленным без изменения постановлением Девятого арбитражного апелляционного суда от 16.07.2019, исковое заявление оставлено без рассмотрения в связи с отсутствием у подписавшего его лица полномочий. Арбитражный суд Московского округа постановлением от 10.10.2019 определение от 13.05.2019 и постановление Девятого арбитражного апелляционного суда от 16.07.2019 оставил без изменения. В кассационной жалобе компания просит об отмене указанных судебных актов, ссылаясь на неустранение в установленном процессуальном порядке противоречий в представленных сторонами заключениях специалистов. В силу части 1 статьи 291.11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2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Таких оснований в связи с доводами жалобы не усматривается. Суды, руководствуясь официальным судебным толкованием, установили содержание норм панамского права на основании представленного ответчиком заключения, отдав ему приоритет посредством оценки представленных сторонами доказательств, по итогу которой возражения ответчика признаны доказанными и не опровергнутыми компанией. Оставление иска без рассмотрения не препятствует восстановлению и защите прав компании. Руководствуясь статьями 291.6,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компании Optimal Marine Corp.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Н.А. Ксенофонтова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