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заявлениями, впоследствии объединёнными для совместного рассмотрения, о признании недействительными торгов и договора № 1 от 17.07.2017, заключенного между финансовым управляющим имуществом должника Шишкаревым Александром Владимировичем и Матюшиным Андреем Валентиновичем, торгов и договора от 22.03.2018, заключенного между финансовым управляющим имуществом должника Меляковым Алексеем Юрьевичем и индивидуальным предпринимателем Дьячковым Виталием Валентиновичем, и о применении последствий недействительности сделок. Определением Арбитражного суда Курской области от 21.05.2019, оставленным без изменения постановлениями Девятнадцатого арбитражного апелляционного суда от 24.07.2019 и Арбитражного суда Центрального округа от 21.10.2019,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449 Гражданского кодекса Российской Федерации, статьи 61.1 Федерального закона от 26.10.2002 № 127-ФЗ «О несостоятельности (банкротстве)», исходили из отсутствия оснований для удовлетворения требований ввиду недоказанности наличия оснований, подтверждающих наличие нарушений при проведении торгов, а также нарушения прав и законных интересов лиц, вовлеченных в процесс банкротства должника оспариваемыми торгами.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Гикову Виктору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