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после отмены ранее состоявшихся судебных актов решением Арбитражного суда Камчатского края от 29.11.2018, оставленным без изменения постановлением Пятого арбитражного апелляционного суда от 27.06.2019 и постановлением Арбитражного суда Дальневосточного округа от 17.10.2019, в удовлетворении иска отказано в связи с недоказанностью законных условий, необходимых для взыскания упущенной выгоды. В кассационной жалобе общество просит о пересмотре судебных актов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составляющие в силу статей 15, 1069 Гражданского кодекса Российской Федерации условия для взыскания убытков, устанавливаются судами, рассматривающими дело по правилам для первой инстанции. Переоценка выводов судов в отношении условий применения ответственности не составляет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