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суда округа, вступившее в законную силу 22.10.2019. Жалоба подана в Верховный Суд Российской Федерации 07.02.2020,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подачи кассационной жалобы. В обоснование ходатайства общество указывает, что уже обращалось с аналогичной кассационной жалобой в установленные законом сроки, однако жалоба была возвращена без рассмотрения по причине нарушения пункта 2 части 5 статьи 291.3 АПК РФ. Изучив приведенные доводы и приложенные документы, подтверждающие своевременное направление первоначальной жалобы, суд находит заявленное ходатайство подлежащим удовлетворению по следующим основаниям. 2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Учитывая, что заявитель первоначально обратился с кассационной жалобой в установленный законом срок, обстоятельства, послужившие основанием для возврата кассационной жалобы, устранены, ходатайство о восстановлении пропущенного процессуального срока подлежит удовлетворению. На основании изложенного,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«ПРО-СтройИнвест» о восстановлении пропущенного процессуального срока подачи кассационной жалобы. Восстановить обществу с ограниченной ответственностью «ПРО- СтройИнвест» срок подачи кассационной жалобы на решение Арбитражного суда Московской области от 04.06.2019 по делу № А41-100013/2018, постановление Девятого арбитражного апелляционного суда от 08.08.2019 и постановление Арбитражного суда Московского округа от 22.10.2019 по тому же делу. Судья Верховного Суда Киселева 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