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прежний конкурсный управляющий Удовиченко Елена Станиславовна обратилась в суд с заявлением о признании недействительными договоров денежного займа от 02.12.2017 № 17 и от 12.12.2017 № 17-1, заключенных между должником и обществом с ограниченной ответственностью «Финансгруп» (далее – займодавец). Определением Арбитражного суда Архангельской области от 21.02.2019 договор денежного займа от 12.12.2017 № 17-1 признан недействительной сделкой. Требование в части признания недействительным договора денежного займа от 02.12.2017 № 17 выделено в отдельное производство и приостановлено до вступления в законную силу решения Арбитражного суда Архангельской области от 05.02.2019 по делу № А05-11471/2018. Постановлением Четырнадцатого арбитражного апелляционного суда от 07.06.2019, оставленным без изменения постановлением Арбитражного суда Северо-Западного округа от 30.08.2019, вышеуказанное определение отменено в обжалуемой части; в удовлетворении заявления о признании недействительным договора денежного займа от 12.12.2017 № 17-1 отказано. 2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определение суда первой инстанции оставить в силе либо направить обособленный спор на новое рассмотрение. 23.12.2019 материалы дела № А05-14307/2017, касающиеся заявления конкурсного управляющего должником, были истребованы в Арбитражном суде Архангельской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материалов обособленного спора и доводов кассационной жалобы таких оснований не установлено. Отменяя принятое по делу определение и разрешая спор, апелляционный суд, руководствуясь статьями 10, 168, 807, 808 Гражданского кодекса Российской Федерации, статьями 61.1, 61.2 Федерального закона от 26.10.2002 № 127-ФЗ «О несостоятельности (банкротстве)», исходил из отсутствия совокупности условий для признания недействительной сделки в связи с недоказанностью её нестандартного характера, злоупотребления сторонами правом и причинения вреда кредиторам. Суд округа согласился с выводами апелляционного суда. Выводы судов соответствуют нормам права, оснований для переоценки этих выводов не имеется. Оспариваемый заявителем договор займа сам по себе имущественные права кредиторов не нарушает; при предъявлении займодавцем к должнику требования о взыскании задолженности по договору займа конкурсный управляющий должником вправе ссылаться на реестровый характер задолженности в части платежей в пользу третьих лиц ввиду недопустимости обхода норм законодательства о банкротстве о порядке очерёдности погашения требований кредиторов, а при возврате займа – оспорить соответствующие возвратные платежи.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управляющего обществом с ограниченной ответственностью «СпецФундаментСтрой» Фёдорову Михаилу Петровичу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