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05.04.2019, оставленным без изменения постановлением Восьмого арбитражного апелляционного суда от 09.07.2019, в удовлетворении заявленных требований отказано. Постановлением Арбитражного суда Западно-Сибирского округа от 18.10.2019 указанные судебные акты оставлены без изменения. В кассационной жалобе, поступившей в Верховный Суд Российской Федерации, общество просит отменить обжалуемые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21 , 146 , 149 , 154 , 166 , 171 , 247 , 252 , 253 Налогового кодекса Российской Федерации, а также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отказали в удовлетворении заявленного требования, признав, что в целях получения необоснованной налоговой выгоды обществом произведено формальное разделение бизнеса, деятельность общества и созданной организации является частью единого производственного процесса, направленного на достижение общего экономического результата. Приведенные в жалобе доводы были предметом рассмотрения судов трех инстанций и получили исчерпывающую правовую оценку применительно к установленным обстоятельствам.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Арбитражный суд Западно-Сибирского округа (подробнее) ООО Управляющая компания "Сибирский дом" (подробнее) Ответчики: МИФНС №7 по ХМАО - ЮГРЕ (подробнее) Иные лица: УФНС по ХМАО-Югре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