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17.06.2019, оставленным без изменения постановлением Двадцатого арбитражного апелляционного суда от 20.08.2019 и постановлением Арбитражного суда Центрального округа от 07.11.2019, с комбината в пользу общества взыскано 2 673 181 руб. 02 коп. задолженности, 267 318 руб. 10 коп. пеней, в удовлетворении остальной части исковых требований отказано, распределены расходы по уплате государственной пошлины. 2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в части отказа во взыскании неустойки и принять в этой части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329, 330, 421 Гражданского кодекса Российской Федерации, установив факт нарушения комбинатом обязательств по оплате выполненных обществом работ в рамках договора, проверив обоснованность представленного последним расчета пеней, с учетом ограничения ответственности ответчика, установленной договором, суды первой и апелляционной инстанций удовлетворили требование о взыскании неустойки частично, с чем впоследствии согласился суд округа. Доводы кассационной жалобы, с учетом установленных фактических обстоятельств, выводы судов не опровергают, не подтверждают существенных нарушений судами норм материального права и процессуального права, повлиявших на исход дела, и не являются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«СтройМонтажСервис»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