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09.04.2019, оставленным без изменения постановлением Семнадцатого арбитражного апелляционного суда от 18.07.2019 и постановлением Арбитражного суда Уральского округа от 29.10.2019,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представленные в материалы дела доказательства, действия общества в спорных правоотношениях, руководствуясь статьей 1102 Гражданского кодекса Российской Федерации, суды пришли к выводу о недоказанности факта приобретения или сбережения имущества (денежных средств) ответчиком за счет истца, что явилось основанием для отказа в удовлетворении исковых требований. Доводы кассационной жалобы, с учетом установленных фактических обстоятельств, выводы судов не опровергают, не подтверждают существенных нарушений судами норм материального права и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«Скорпион»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Скорпион (подробнее) Ответчики: ИП Дружинина Татьяна Александровна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