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Московской области с иском к обществу с ограниченной ответственностью «Пелегрин» (далее – Общество) о признании незаконным бездействия ответчика в лице генерального директора ФИО2, выразившееся в непредоставлении истцу документов, связанных с деятельностью Общества; об обязании Общества в лице генерального директора - ФИО2 предоставить ФИО1 надлежащим образом заверенные копии документов, перечисленных в исковом заявлении. Решением Арбитражного суда Московской области от 22.03.2019, оставленным без изменения постановлением Десятого арбитражного апелляционного суда от 27.06.2019 и постановлением Арбитражного суда Московского округа от 11.11.2019,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права. В обоснование доводов жалобы заявитель указывает, что в силу пункта 12 статьи 21 Федерального закона от 08.02.1998 № 14-ФЗ «Об обществах с ограниченной ответственностью» (далее - Закон № 14-ФЗ) доля или часть доли в уставном капитале общества переходит к ее приобретателю с момента внесения соответствующей записи в Единый государственный реестр юридических лиц (далее – ЕГРЮЛ); факт отсутствия у истца статуса участника Общества подтверждается выпиской из ЕГРЮЛ.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ФИО3, ФИО4. Судами установлено, что апелляционным определением Судебной коллегии по гражданским делам Московского городского суда от 14.05.2018 за ФИО1 в результате раздела совместно нажитого имущества после расторжения брака с ФИО4 признано право собственности на 25% доли в уставном капитале Общества, в связи с чем 13.12.2018 ФИО1 направила в адрес юридического лица требование о предоставлении надлежащим образом заверенных копий документов, касающихся деятельности хозяйствующего субъекта, которое не было исполнено. Ссылаясь на указанные обстоятельства, ФИО1 обратилась в арбитражный суд с настоящим иском. Исследовав и оценив по правилам статьи 71 АПК РФ представленные доказательства, руководствуясь статьями 8, 50 Закона № 14-ФЗ и рекомендациями, приведенными в пункте 3 Информационного письма Президиума Высшего Арбитражного Суда Российской Федерации от 18.01.2011 № 144 «О некоторых вопросах практики рассмотрения арбитражными судами споров о предоставлении информации участникам хозяйственных обществ», суды удовлетворили заявленные требования, придя к выводу о наличии у истца права требования документации юридического лица. Доводы кассационной жалобы, которые были предметом подробного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«Пелегрин»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"ПЕЛЕГРИН"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