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12.03.2019, оставленным без изменения постановлением Тринадцатого арбитражного апелляционного суда от 12.07.2019, первоначальный иск удовлетворен, в удовлетворении встречного иска отказано. Постановлением Арбитражного суда Северо-Западного округа от 16.10.2019 решение и постановление апелляционного суда отменены, дело направлено на новое рассмотрение в суд первой инстанции. В кассационной жалобе общество просит отменить постановление окружного суда вследствие установления нижестоящими судами изготовления и передачи товара и незаконной переоценки установленных обстоятельств.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дали оценки правам учреждения на односторонний отказ от исполнения контракта в связи с непоставкой в срок товара в полном объеме и взыскании штрафа за недопоставку товара, влияющей на разрешение дела. Доводы общества касаются исполнения контракта на заявленную им сумму и не связаны с обстоятельствами, исследование которых вменено окружным судом. Обжалуемое постановление принято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«Византия»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