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Ханты-Мансийскому автономному округу – Югре (далее – уполномоченный орган) обратилась в суд жалобой на действия арбитражного управляющего Больбы В.А., выразившиеся в погашении задолженности перед кредиторами должника по текущим платежам четвёртой очереди в размере 20 861 554 рублей 02 копеек при наличии задолженности предшествующих очередей текущих платежей. Определением Арбитражного суда Ханты-Мансийского автономного округа – Югры от 31.03.2019, оставленным без изменения постановлениями Восьмого арбитражного апелляционного суда от 15.07.2019 и Арбитражного суда Западно-Сибирского округа от 18.10.2019, жалоба удовлетворена.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134 Федерального закона от 26.10.2002 № 127-ФЗ «О несостоятельности (банкротстве)», пунктом 18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20.12.2016, исходили из того, что допущенное заявителем отступление от установленной законом очерёдности удовлетворения текущих требований кредиторов должника при отсутствии к тому экстраординарных оснований ни только не привело к восстановлению платёжеспособности должника, но и способствовало ухудшению его финансового состояния и увеличению задолженности перед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Больбе Владимиру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