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Белгородской области от 26.02.2019 оставленным без изменения постановлением Девятнадцатого арбитражного апелляционного суда от 30.05.2019, иск удовлетворен. Арбитражный суд Центрального округа постановлением от 22.10.2019 решение от 26.02.2019 и постановление Девятнадцатого арбитражного апелляционного суда от 30.05.2019 оставил без изменения. В кассационной жалобе общество «EXPRESSLOGIC J.T.CZAJKA Spolka Jawna» просит об отмене судебных актов, ссылаясь на неполно установленные обстоятельства перевозки, влияющие на ответственность перевозчика.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закона непричастность к порче груза подлежит доказыванию перевозчиком (экспедитором). Суды признали недоказанными доводы ответчика (экспедитора) о возникновении обстоятельств, повлекших порчу груза, до начала перевозки. Неполнота исследования обстоятельств перевозки опровергается содержанием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обществу «EXPRESSLOGIC J.T.CZAJKA Spolka Jawna»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"БЕЛГОРОДСКИЕ ЯБЛОКИ" (подробнее) Ответчики: ООО "Белгородская Соляная Компания" (подробнее) Иные лица: Верховный Суд Республики Беларусь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