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Тверской области от 22.02.2019, оставленным без изменения постановлением Четырнадцатого арбитражного апелляционного суда от 30.05.2019, в удовлетворении заявленных требований отказано. Постановлением Арбитражного суда Северо-Западного округа от 17.10.2019 указанные судебные акты отменены, заявленные требования удовлетворены. В кассационной жалобе фонд просит отменить постановление суда округа, полагая, что судом допущены существенное нарушение норм материального права, повлиявшее на исход судебного разбирательства. Основания для пересмотра судебных актов в кассационном порядке по доводам жалобы отсутствуют. Как следует из судебных актов, работнику предприятия был предоставлен отпуск по уходу за ребенком, на период отпуска установлен режим неполного рабочего времени. Отменяя решение суда первой и постановление суда апелляционной инстанций, суд округа руководствовался положениями статей 15 , 16 , 56 Трудового кодекса Российской Федерации, статей 1, 2, 2.1, 11.1, 15.1 Федерального закона от 29.12.2006 № 255-ФЗ «Об обязательном социальном страховании на случай временной нетрудоспособности и в связи с материнством», статьи 11 Федерального закона от 16.07.1999 № 165-ФЗ «Об основах обязательного социального страхования», статьи 13 Федерального закона от 19.05.1995 № 81-ФЗ «О государственных пособиях гражданам, имеющим детей», и исходил из того, что само по себе сокращение работнику, фактически осуществляющему уход за ребенком, рабочего времени на два часа ежедневно о злоупотреблении не свидетельствует. В отсутствие доказательств того, что рабочий день сокращен формально, установленное сокращение продолжительности рабочего времени не позволяет сотруднику продолжать в оставшееся время осуществлять уход за ребенком, выводы суда не противоречат выводам, изложенным в определении Судебной коллегии по экономическим спорам Верховного Суда Российской Федерации от 18.07.2017 № 307-КГ17-1728, Определении Конституционного Суда Российской Федерации от 28.02.2017 № 329-О.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Исходя из изложенного,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А.Г.Першутов Российской Федерации Суд: Верховный Суд РФ (подробнее) Истцы: МУП "Тверьгорэлектро" (подробнее) Ответчики: ГУ Тверское региональное отделение фонда социального страхования Российской Федерации (подробнее) Судьи дела: Першутов А.Г. (судья) (подробнее) Судебная практика по: Трудовой договор Судебная практика по применению норм ст. 56, 57, 58, 59 ТК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