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21.01.2019, оставленным без изменения постановлением Девятого арбитражного апелляционного суда от 24.05.2019 и постановлением Арбитражного суда Московского округа от 30.10.2019, иск удовлетворен частично. В кассационной жалобе служба просит об отмене судебных актов, ссылаясь на отсутствие законных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Учитывая признание в рамках самостоятельных арбитражных дел постановлений о привлечении истца к административной ответственности незаконными и установление в рассматриваемом деле причинно-следственной связи между незаконными действиями и заявленными убытками, суды взыскали убытки в доказанном размере в соответствии со статьями 15 , 1069 Гражданского кодекса Российской Федерации. Иная оценка заявителем обстоятельств возникновения убытков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по надзору в сфере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"Донгеофизика" (подробнее) Ответчики: МИНФИН РОССИИ (подробнее) ространснадзор (подробнее) ФЕДЕРАЛЬНАЯ СЛУЖБА ПО НАДЗОРУ В СФЕРЕ ТРАНСПОРТА (подробнее) Судьи дела: Ксенофонтова Н.А.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