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13.02.2019, оставленным без изменения постановлением Девятого арбитражного апелляционного суда от 21.05.2019 и постановлением Арбитражного суда Московского округа от 14.10.2019, иск удовлетворен. В кассационной жалобе общество «Кибертехника» просит о пересмотре судебных актов, указывая на непоступление средств для расчетов с соисполнителем (истцом) от государственного заказчика.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договоре от 26.04.2017 № 1-0412 согласован порядок оплаты подлежащей поставке продукции, который не содержит условия об оплате после получения денежных средств от государственного заказчика, поэтому удовлетворили иск в соответствии с условиями договора и статьями 395 , 486 , 506 , 516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«Кибертехника»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"КОНЦЕРН ВНИИНС" (подробнее) Ответчики: АО "КИБЕРТЕХНИКА"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