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43 778 956 рублей 21 копейки. Определением Арбитражного суда Пермского края от 12.05.2019 заявление удовлетворено. Постановлением Семнадцатого арбитражного апелляционного суда от 25.07.2019, оставленным без изменения постановлением Арбитражного суда Уральского округа от 15.10.2019, вышеуказанное определение отменено; в удовлетворении требования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либо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руководствовался статьями 196, 199, 200, 454, 702, 753 Гражданского кодекса Российской Федерации, статьями 16, 71, 100 Федерального закона № 127-ФЗ от 26.10.2002 «О несостоятельности (банкротстве)», пунктом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и исходил из отсутствия доказательств, подтверждающих наличие задолженности перед обществом, пропуска срока исковой давности, в связи с чем отказал во включении требования в реестр.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«Энекс»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