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19.04.2019, оставленным без изменения постановлением Девятого арбитражного апелляционного суда от 26.06.2019 и постановлением Арбитражного суда Московского округа от 16.10.2019, иск удовлетворен. В кассационной жалобе учреждение просит отменить судебные акты как незаконные вследствие несоответствия выводов суда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оказание обществом (исполнителем) услуг в рамках контракта от 31.10.2016 № ОУЗ/СЭ-СТМ-16-17 и неоплату их учреждением (заказчиком), поэтому удовлетворили иск в соответствии с обстоятельствами исполнения обязательства и статьями 395 , 779 , 781 Гражданского кодекса Российской Федерации. Иная оценка заявителем обстоятельств исполнения контракта, не составляет оснований для кассационного пересмотра судебных актов.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города Москвы «Автомобильные дороги Северного административного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"ТРАНСТУРБО" (подробнее) Ответчики: ГБУ г.Москвы Автомобильные дороги Северного административного округа"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