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«Иствей-Финанс» обратилось в суд с заявлениями, объединёнными в одно производство для совместного рассмотрения, о включении в реестр требований кредиторов должника требования в общей сумме 54 436 823 рубля 66 копеек. Определением Арбитражного суда Иркутской области от 24.12.2018 в удовлетворении требований отказано. Постановлением Четвёртого арбитражного апелляционного суда от 15.07.2019, оставленным без изменения постановлением Арбитражного суда Восточно-Сибирского округа от 21.10.2019, произведена замена общества «Иствей-Финанс» на общество «Древостиль»; определение суда первой инстанции от 24.12.2018 оставлено без изменения.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предоставление участником должника финансирования в отсутствие экономически обусловленного обоснования предоставления заёмных денежных средств по своей сути являлось формой участия в капитале должника, в связи чем, не усмотрели оснований для включения требования в реестр как носящего корпоративный характер и не способного конкурировать с требованиями иных независимых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«Древостиль»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