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27.09.2019, оставленным без изменения постановлением Четырнадцатого арбитражного апелляционного суда от 05.11.2019, в удовлетворении ходатайства университета о выделении искового требования управления о расторжении государственных контрактов от 29.08.2011 № 303, от 25.04.2012 № 144, от 29.04.2013 № 136 в отдельное производство отказано. 2 В кассационной жалобе университет просит о пересмотре судебных актов как незаконных, ссылаясь на недопустимость рассмотрения требования о расторжении контрактов, в принятии которого ранее было отказано судом, посредством объединения с другим требованием.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в принятии требования к рассмотрению не тождествен отказу в удовлетворении такого требования, поэтому не влечет последствий, на которые указывает заявитель, и не препятствует при установленном судами наличии указанных в статье 130 Арбитражного процессуального кодекса Российской Федерации условий объединению требований.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«Московский государственный технический университет имени Н.Э. Баумана»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