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08.02.2019, оставленным без изменения постановлением Девятого арбитражного апелляционного суда от 05.06.2019, в удовлетворении иска отказано. Арбитражный суд Московского округа постановлением от 10.10.2019 решение от 08.02.2019 и постановление Девятого арбитражного апелляционного суда от 05.06.2019 оставил без изменения. В кассационной жалобе фирма просит об отмене указанных судебных актов вследствие наличия законных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по доводам жалобы не усматривается. Обстоятельства, составляющие в условия для взыскания в силу статей 15 , 393 Гражданского кодекса Российской Федерации убытков установлены судами и не подлежат пересмотру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«Юридическая фирма «Гошин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"Юридическая фирма "Гошин Групп" (подробнее) Ответчики: ПАО "Сбербанк России"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