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26.03.2019, оставленным без изменения постановлением Восемнадцатого арбитражного апелляционного суда от 20.06.2019 и постановлением Арбитражного суда Уральского округа от 16.10.2019, иск удовлетворен. В кассационной жалобе, поданной в Верховный Суд Российской Федерации, учреждение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Как следует из судебных актов, основанием для обращения общества (исполнителя) в арбитражный суд с иском по настоящему делу послужило ненадлежащее исполнение учреждением (заказчиком) обязательств по оплате работ, выполненных обществом в рамках договора от 30.06.2017 № 0353100005517000006 (далее – договор).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установили факт выполнения обществом работ по договору и передачи их результата учреждению. Учитывая отсутствие доказательств, подтверждающих факт выполнения обществом работ в иных объемах, чем указано в акте выполненных работ, и ненадлежащего качества, а также то, что результат работ имел существенные и неустранимые недостатки, не позволяющие его использовать, суды, руководствуясь статьями 309 , 310 , 702 , 708 , 720 , 753 Гражданского кодекса Российской Федерации, пришли к выводу о наличии у учреждения обязанности по оплате спорных работ, в связи с чем удовлетворили заявленные обществом требования. С указанными выводами впоследствии согласился суд округа.Доводы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учреждения «Национальный парк «Бузулукский бор»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"Научное производственное предприятие "ГИПРОЗЕМ" (подробнее) Ответчики: ФГБУ "НАЦИОНАЛЬНЫЙ ПАРК "БУЗУЛУКСКИЙ БОР" (подробнее) Иные лица: Межрайонная инспекция Федеральной налоговой службы №3 по Оренбургской области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