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13.06.2019, оставленным без изменения постановлением Пятнадцатого арбитражного апелляционного суда от 11.09.2019 и постановлением Арбитражного суда Северо-Кавказского округа от 28.11.2019, в удовлетворении иска отказано. В кассационной жалобе, поданной в Верховный Суд Российской Федерации, администрация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руководствуясь статьями 711 , 720 , 740 , 746 , 753 , 763 , 1102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оценив по правилам статьи 71 Арбитражного процессуального кодекса Российской Федерации представленные в материалы дела доказательства, установили, что принятые в отсутствие каких-либо претензий и оплаченные администрацией спорные работы не носят самостоятельный характер, были необходимы для исполнения контрактов в целом, согласованы сторонами и их стоимость не превышает 10 % цены контракта, пришли к выводу о том, что на стороне общества не возникло неосновательное обогащение, в связи с чем отказали в удовлетворении иска. С указанными выводами впоследствии согласился суд округа. Доводы кассационной жалобы не опровергают выводы судов,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муниципального образования Лабинский район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