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03.04.2019, оставленным без изменения постановлением Девятнадцатого арбитражного апелляционного суда от 01.08.2019 и постановлением Арбитражного суда Центрального округа от 09.10.2019, иск удовлетворен. В кассационной жалобе, поданной в Верховный Суд Российской Федерации, компания просит отменить указанные судебные акты, ссылаясь на их незаконность.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702, 711, 779, 781 Гражданского кодекса Российской Федерации, установив факт неисполнения компанией в спорный период обязательств по оплате оказанных обществом услуг в рамках договора от 01.07.2014 № 19, пришли к выводу о наличии оснований для удовлетворения иска. С указанными выводами впоследствии согласился суд округа. Доводы заявителя об отсутствии у него обязанности по перечислению денежных средств за оказанные услуги был предметом рассмотрения судов и получил правовую оценку.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«УК АСПЕКТ»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