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Банк «Пермь» (далее – банк) обратилось в суд с заявлением о включении в реестр требования кредиторов должника задолженности и процентов в размере 28 194 116 рублей 14 копеек, как обеспеченных залогом имущества должника. Определением Арбитражного суда Пермского края от 17.05.2019 требование банка признано обоснованным и включено в третью очередь реестра как обеспеченного залогом должника. Постановлением Семнадцатого арбитражного апелляционного суда от 29.07.2019, оставленным без изменения постановлением Арбитражного суда Уральского округа от 29.10.2019, вышеуказанное определение изменено: требование банка в размере 27 000 000 рублей долга включено в третью очередь реестра, как обеспеченное залогом имущества должника. В кассационных жалобах, поданных в Верховный Суд Российской Федерации, заявители просят отменить указанные судебные акты в части включения в реестр требования по названной задолженности как обеспеченного залогом имущества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8.1, 223, 551 Гражданского кодекса Российской Федерации, статьями 100, 126, 129, 142 Федерального закона от 26.10.2002 № 127-ФЗ «О несостоятельности (банкротстве)», абзацем 2 пункта 3 постановления Пленума Верховного Суда Российской Федерации от 23.06.2015 № 25 «О применении судами некоторых положений раздела I части первой Гражданской кодекса Российской Федерации», исходили из того, что у банка не имелось оснований для обращения в суд с требованием до момента государственной регистрации за должником права на недвижимое имущество, в связи с чем, пришли к правильному выводу о соблюдении им срока на включение данного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«Ритм» и индивидуальному предпринимателю Дроздовой Екатерине Васильевне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