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«ИнвестРесурс» обратилось в Арбитражный суд города Москвы с иском о взыскании с государственного казенного учреждения «Дирекция по обеспечению деятельности организаций труда и социальной защиты населения города Москвы» 86 440 рублей 90 копеек убытков в виде расходов на оформление банковской гарантии. В качестве третьего лица, не заявляющего самостоятельных требований относительно предмета спора, в деле участвует общество с ограниченной ответственностью «Агросоюз». Решением Арбитражного суда города Москвы от 01.03.2019 в удовлетворении иска отказано. Постановлением Девятого арбитражного апелляционного суда от 07.06.2019 решение суда первой инстанции оставлено без изменения. Арбитражный суд Московского округа постановлением от 07.11.2019 указанные судебные акты оставил без изменения. Общество с ограниченной ответственностью «ИнвестРесурс»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393 Гражданского кодекса Российской Федерации, суды сделали вывод о недоказанности наличия причинно-следственной связи между действиями (бездействием) ответчика и предполагаемыми убытками истца.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«ИнвестРесурс»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"Инвестресурс" (подробнее) Ответчики: ГОСУДАРСТВЕННОЕ КАЗЕННОЕ УЧРЕЖДЕНИЕ ГОРОДА МОСКВЫ "ДИРЕКЦИЯ ПО ОБЕСПЕЧЕНИЮ ДЕЯТЕЛЬНОСТИ ОРГАНИЗАЦИЙ ТРУДА И СОЦИАЛЬНОЙ ЗАЩИТЫ НАСЕЛЕНИЯ ГОРОДА МОСКВЫ"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