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25.06.2019, оставленным без изменения постановлением Пятнадцатого арбитражного апелляционного суда от 03.09.2019 и постановлением Арбитражного суда Северо-Кавказского округа от 29.11.2019, иск удовлетворен. В кассационной жалобе общество «МТК Росберг Центр» просит о пересмотре указанных судебных актов вследствие нарушения согласованного условия о документообороте, влекущего незаключенность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На основании представленных доказательств суды установили наличие между сторонами правоотношений по поставке исходя из совершения сторонами юридически значимых действий. Учитывая установленные перечисление покупателем (обществом «Шины Дона») предварительных платежей и неисполнение встречного обязательства по поставке товара обществом «МТК Росберг Центр», суды удовлетворили иск в соответствии со статьями 330, 486, 487, 506 Гражданского кодекса Российской Федерации. Изложенные в рассматриваемой жалобе доводы тождественны доводам, заявленным в судах нижестоящих инстанций, получили оценку и не составляют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«МТК Росберг 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