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Чувашской Республики – Чувашии от 12.03.2019 иск удовлетворен. Постановлением Первого арбитражного апелляционного суда от 10.07.2019, оставленным без изменения постановлением Арбитражного суда Волго-Вятского округа от 24.10.2019, решение изменено: в удовлетворении иска в части взыскания убытков отказано. В кассационной жалобе завод просит о пересмотре судебных актов апелляционного и окружного судов как незаконных, ссылаясь на наличие в силу договора права на взыскание убытков одновременно с неустойкой.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апелляционной инстанции установил, что за непоставку товара сторонами согласована ответственность в виде неустойки, заявленной в рассматриваемом иске и взысканной в пользу завода. При этом наличие убытков в сумме, превышающей неустойку, суд признал недоказанным исходя из необходимых в силу статей 15 , 393 Гражданского кодекса Российской Федерации условий.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«Чебоксарский электромеханический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"Чебоксарский электромеханический завод" (подробнее) Ответчики: ООО "Электропоставка"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