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ФИО2 обратился в суд с заявлением о признании недействительными сделок, заключенных 07.10.2014 между должником и ФИО3 в виде договоров дарения земельного участка, здания и квартир; применении последствий недействительности сделок. Определением Арбитражного суда города Москвы от 03.06.2019 в удовлетворении заявления отказано. Постановлением Девятого арбитражного апелляционного суда от 07.08.2019, оставленным без изменения постановлением Арбитражного суда Московского округа от 23.10.2019, вышеуказанное определение отменено; требования удовлетворены.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433 , 574 Гражданского кодекса Российской Федерации, пунктом 2 статьи 61.2 Федерального закона от 26.10.2002 № 127-ФЗ «О несостоятельности (банкротстве)», пунктом 8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пришёл к выводу о наличии совокупности условий для признания недействительными оспариваемых сделок, совершенных в период подозрительности при наличии у должника на момент фактического вывода и регистрации права на отчуждённое по ним недвижимое имущество признаков неплатёжеспособности с целью причинения вреда кредиторам посредством безвозмездной передачи активов в пользу заинтересованного лица (сына).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Банк ВТБ (подробнее) ПАО Банк ВТБ 24 (подробнее) Иные лица: А.Г. Груздева (подробнее) ф/у Порядин А.В.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