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13.06.2019, оставленным без изменения постановлением Девятнадцатого арбитражного апелляционного суда от 16.08.2019, исковые требования удовлетворены в части взыскания 5 856 рублей страхового возмещения, 5 856 рублей неустойки, 756 рублей 68 копеек почтовых расходов и 11 000 рублей расходов на услуги представителя. Арбитражный суд Центрального округа постановлением от 26.11.2019 решение от 13.062019 и постановление Девятнадцатого арбитражного апелляционного суда от 16.08.2019 оставил без изменения. В кассационной жалобе предприниматель просит об отмене судебных актов в части отказа во взыскании стоимости экспертизы, ссылаясь на наличие у нее статуса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Представленное предпринимателем экспертное заключение признано ненадлежащим доказательством заявленных убытков и не положено в основу судебных актов, поэтому во взыскании понесенных на его получение расходов отказано правомерно.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Туш Е.И.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Туш Екатерина Игоревна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