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Москвы от 21.02.2019, оставленным без изменения постановлением Девятого арбитражного апелляционного суда от 25.04.2019 и постановлением Арбитражного суда Московского округа от 07.10.2019, в удовлетворении исковых требований отказано. В кассационной жалобе, поданной в Верховный Суд Российской Федерации, общество, ссылаясь на неполное исследование судами обстоятельств и представленных в материалы дела доказательств,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судебных актов, исковые требования общества мотивированы наличием на стороне института неосновательного обогащения в виде стоимости работ, выполненных обществом на основании протокола совещания.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установили, что работы выполнялись обществом в отсутствие договора с институтом, без согласования их объема, стоимости и срока выполнения; акт приемки-передачи работ институтом не подписан, доказательства получения данного акта последним отсутствуют, как и доказательства того, что результат работ имеет для ответчика потребительскую ценность и им используется. При таких обстоятельствах, руководствуясь статьями 309, 310, 1102 Гражданского кодекса Российской Федерации, суды пришли к выводу об отсутствии оснований для удовлетворения иска, с чем впоследствии согласился суд округа.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«Федеральный центр науки и высоких технологий «Специальное научно- производственное объединение «Элерон»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