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13.05.2019, оставленным без изменения постановлением Пятнадцатого арбитражного апелляционного суда от 28.07.2019 и постановлением Арбитражного суда Северо-Кавказского округа от 09.10.2019, с предпринимателя в пользу общества взыскано 402 000 руб. неосновательного обогащения, 32 471 руб. 15 коп. процентов за пользование чужими денежными средствами, в удовлетворении остальной части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статьями 313, 395, 1102, 1107 Гражданского кодекса Российской Федерации, разъяснениями, приведенными в пунктах 20, 21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и исходили из доказанности наличия на стороне предпринимателя неосновательного обогащения и обязанности по его возврату обществу с уплатой процентов за пользование чужими денежными средствами. Довод жалобы о неправомерном отказе судом округа в удовлетворении ходатайства об отложении судебного заседания отклоняется, так как в силу статьи 158 Арбитражного процессуального кодекса Российской Федерации совершение данного процессуального действия является правом, а не обязанностью суда. Кроме того, отказывая в удовлетворении ходатайства, суд округа указал на неподтвержденность изложенных в нем доводов. Довод заявителя о необоснованном взыскании государственной пошлины по кассационной жалобе является несостоятельным, поскольку из постановления суда округа следует, что надлежащих и достоверных доказательств уплаты пошлины при подаче жалобы предпринимателем не представлено. Иные доводы жалобы аналогичны доводам, ранее заявлявшимся в судах, которым дана правовая оценка. Существенных нарушений норм материального и процессуального права, повлиявших на исход дела, указанные в кассационной жалобе доводы не подтверждают и не являются достаточным основанием для пересмотра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предпринимателя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Гатауллина Рустема Минрахимовича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